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E0E8" w14:textId="5E8A7800" w:rsidR="006E2D2F" w:rsidRPr="0054124C" w:rsidRDefault="00396EDE" w:rsidP="001970FC">
      <w:pPr>
        <w:rPr>
          <w:b/>
          <w:bCs/>
          <w:sz w:val="22"/>
          <w:szCs w:val="22"/>
        </w:rPr>
      </w:pPr>
      <w:r w:rsidRPr="0054124C">
        <w:rPr>
          <w:b/>
          <w:bCs/>
          <w:sz w:val="22"/>
          <w:szCs w:val="22"/>
        </w:rPr>
        <w:t xml:space="preserve">Submitting a </w:t>
      </w:r>
      <w:r w:rsidR="006E2D2F" w:rsidRPr="0054124C">
        <w:rPr>
          <w:b/>
          <w:bCs/>
          <w:sz w:val="22"/>
          <w:szCs w:val="22"/>
        </w:rPr>
        <w:t>S</w:t>
      </w:r>
      <w:r w:rsidRPr="0054124C">
        <w:rPr>
          <w:b/>
          <w:bCs/>
          <w:sz w:val="22"/>
          <w:szCs w:val="22"/>
        </w:rPr>
        <w:t xml:space="preserve">moke </w:t>
      </w:r>
      <w:r w:rsidR="006E2D2F" w:rsidRPr="0054124C">
        <w:rPr>
          <w:b/>
          <w:bCs/>
          <w:sz w:val="22"/>
          <w:szCs w:val="22"/>
        </w:rPr>
        <w:t>M</w:t>
      </w:r>
      <w:r w:rsidRPr="0054124C">
        <w:rPr>
          <w:b/>
          <w:bCs/>
          <w:sz w:val="22"/>
          <w:szCs w:val="22"/>
        </w:rPr>
        <w:t xml:space="preserve">anagement </w:t>
      </w:r>
      <w:r w:rsidR="006E2D2F" w:rsidRPr="0054124C">
        <w:rPr>
          <w:b/>
          <w:bCs/>
          <w:sz w:val="22"/>
          <w:szCs w:val="22"/>
        </w:rPr>
        <w:t>P</w:t>
      </w:r>
      <w:r w:rsidRPr="0054124C">
        <w:rPr>
          <w:b/>
          <w:bCs/>
          <w:sz w:val="22"/>
          <w:szCs w:val="22"/>
        </w:rPr>
        <w:t xml:space="preserve">lan </w:t>
      </w:r>
      <w:r w:rsidR="0054124C">
        <w:rPr>
          <w:b/>
          <w:bCs/>
          <w:sz w:val="22"/>
          <w:szCs w:val="22"/>
        </w:rPr>
        <w:t xml:space="preserve">(SMP) </w:t>
      </w:r>
      <w:r w:rsidRPr="0054124C">
        <w:rPr>
          <w:b/>
          <w:bCs/>
          <w:sz w:val="22"/>
          <w:szCs w:val="22"/>
        </w:rPr>
        <w:t>in Humboldt</w:t>
      </w:r>
      <w:r w:rsidR="00980F03" w:rsidRPr="0054124C">
        <w:rPr>
          <w:b/>
          <w:bCs/>
          <w:sz w:val="22"/>
          <w:szCs w:val="22"/>
        </w:rPr>
        <w:t>, Del-Norte, &amp; Trinity</w:t>
      </w:r>
      <w:r w:rsidRPr="0054124C">
        <w:rPr>
          <w:b/>
          <w:bCs/>
          <w:sz w:val="22"/>
          <w:szCs w:val="22"/>
        </w:rPr>
        <w:t xml:space="preserve"> Count</w:t>
      </w:r>
      <w:r w:rsidR="00980F03" w:rsidRPr="0054124C">
        <w:rPr>
          <w:b/>
          <w:bCs/>
          <w:sz w:val="22"/>
          <w:szCs w:val="22"/>
        </w:rPr>
        <w:t>ies</w:t>
      </w:r>
    </w:p>
    <w:p w14:paraId="5BB0BEF4" w14:textId="493EE18B" w:rsidR="00396EDE" w:rsidRPr="0054124C" w:rsidRDefault="007A492B" w:rsidP="001970FC">
      <w:pPr>
        <w:rPr>
          <w:sz w:val="22"/>
          <w:szCs w:val="22"/>
        </w:rPr>
      </w:pPr>
      <w:r w:rsidRPr="0054124C">
        <w:rPr>
          <w:sz w:val="22"/>
          <w:szCs w:val="22"/>
        </w:rPr>
        <w:t xml:space="preserve">The burning of vegetation </w:t>
      </w:r>
      <w:r w:rsidR="00FA51C6" w:rsidRPr="0054124C">
        <w:rPr>
          <w:sz w:val="22"/>
          <w:szCs w:val="22"/>
        </w:rPr>
        <w:t xml:space="preserve">in our area is regulated </w:t>
      </w:r>
      <w:r w:rsidRPr="0054124C">
        <w:rPr>
          <w:sz w:val="22"/>
          <w:szCs w:val="22"/>
        </w:rPr>
        <w:t xml:space="preserve">year-round </w:t>
      </w:r>
      <w:r w:rsidR="00FA51C6" w:rsidRPr="0054124C">
        <w:rPr>
          <w:sz w:val="22"/>
          <w:szCs w:val="22"/>
        </w:rPr>
        <w:t xml:space="preserve">by the North Coast Unified Air Quality Management District (NCUAQMD). </w:t>
      </w:r>
      <w:r w:rsidR="00396EDE" w:rsidRPr="0054124C">
        <w:rPr>
          <w:sz w:val="22"/>
          <w:szCs w:val="22"/>
        </w:rPr>
        <w:t>In order to conduct broadcast burning</w:t>
      </w:r>
      <w:r w:rsidR="00FA51C6" w:rsidRPr="0054124C">
        <w:rPr>
          <w:sz w:val="22"/>
          <w:szCs w:val="22"/>
        </w:rPr>
        <w:t>,</w:t>
      </w:r>
      <w:r w:rsidR="00396EDE" w:rsidRPr="0054124C">
        <w:rPr>
          <w:sz w:val="22"/>
          <w:szCs w:val="22"/>
        </w:rPr>
        <w:t xml:space="preserve"> </w:t>
      </w:r>
      <w:r w:rsidR="00F85453">
        <w:rPr>
          <w:sz w:val="22"/>
          <w:szCs w:val="22"/>
        </w:rPr>
        <w:t xml:space="preserve">burn piles larger than 10’x10’, </w:t>
      </w:r>
      <w:r w:rsidR="00396EDE" w:rsidRPr="0054124C">
        <w:rPr>
          <w:sz w:val="22"/>
          <w:szCs w:val="22"/>
        </w:rPr>
        <w:t>or burn more than one pile at a time, you will need to have an approved SMP</w:t>
      </w:r>
      <w:r w:rsidR="00FA51C6" w:rsidRPr="0054124C">
        <w:rPr>
          <w:sz w:val="22"/>
          <w:szCs w:val="22"/>
        </w:rPr>
        <w:t xml:space="preserve"> in addition to a Non-Standard Burn Permit</w:t>
      </w:r>
      <w:r w:rsidRPr="0054124C">
        <w:rPr>
          <w:sz w:val="22"/>
          <w:szCs w:val="22"/>
        </w:rPr>
        <w:t>, and any permits that may be required by Cal Fire</w:t>
      </w:r>
      <w:r w:rsidR="00FA51C6" w:rsidRPr="0054124C">
        <w:rPr>
          <w:sz w:val="22"/>
          <w:szCs w:val="22"/>
        </w:rPr>
        <w:t xml:space="preserve">. </w:t>
      </w:r>
      <w:r w:rsidRPr="0054124C">
        <w:rPr>
          <w:sz w:val="22"/>
          <w:szCs w:val="22"/>
        </w:rPr>
        <w:t xml:space="preserve">The SMP application may be downloaded from the </w:t>
      </w:r>
      <w:hyperlink r:id="rId7" w:history="1">
        <w:r w:rsidRPr="0054124C">
          <w:rPr>
            <w:rStyle w:val="Hyperlink"/>
            <w:sz w:val="22"/>
            <w:szCs w:val="22"/>
          </w:rPr>
          <w:t>NCUAQMD website</w:t>
        </w:r>
      </w:hyperlink>
      <w:r w:rsidRPr="0054124C">
        <w:rPr>
          <w:sz w:val="22"/>
          <w:szCs w:val="22"/>
        </w:rPr>
        <w:t xml:space="preserve"> </w:t>
      </w:r>
      <w:r w:rsidR="00F85453">
        <w:rPr>
          <w:sz w:val="22"/>
          <w:szCs w:val="22"/>
        </w:rPr>
        <w:t xml:space="preserve">at </w:t>
      </w:r>
      <w:hyperlink r:id="rId8" w:history="1">
        <w:r w:rsidR="00F85453" w:rsidRPr="00F85453">
          <w:rPr>
            <w:rStyle w:val="Hyperlink"/>
            <w:sz w:val="22"/>
            <w:szCs w:val="22"/>
          </w:rPr>
          <w:t>this link</w:t>
        </w:r>
      </w:hyperlink>
      <w:r w:rsidR="00F85453">
        <w:rPr>
          <w:sz w:val="22"/>
          <w:szCs w:val="22"/>
        </w:rPr>
        <w:t>.</w:t>
      </w:r>
    </w:p>
    <w:p w14:paraId="7F340490" w14:textId="77777777" w:rsidR="006E2D2F" w:rsidRPr="0054124C" w:rsidRDefault="006E2D2F" w:rsidP="001970FC">
      <w:pPr>
        <w:rPr>
          <w:sz w:val="22"/>
          <w:szCs w:val="22"/>
        </w:rPr>
      </w:pPr>
    </w:p>
    <w:p w14:paraId="7187F57F" w14:textId="77777777" w:rsidR="00AA1339" w:rsidRDefault="005474C7" w:rsidP="00804D43">
      <w:pPr>
        <w:rPr>
          <w:sz w:val="22"/>
          <w:szCs w:val="22"/>
        </w:rPr>
      </w:pPr>
      <w:r w:rsidRPr="0054124C">
        <w:rPr>
          <w:sz w:val="22"/>
          <w:szCs w:val="22"/>
        </w:rPr>
        <w:t xml:space="preserve">General Notes: </w:t>
      </w:r>
    </w:p>
    <w:p w14:paraId="36AB9E2D" w14:textId="697BC8E2" w:rsidR="00AA1339" w:rsidRDefault="005474C7" w:rsidP="00804D43">
      <w:pPr>
        <w:pStyle w:val="ListParagraph"/>
        <w:numPr>
          <w:ilvl w:val="0"/>
          <w:numId w:val="4"/>
        </w:numPr>
        <w:rPr>
          <w:sz w:val="22"/>
          <w:szCs w:val="22"/>
        </w:rPr>
      </w:pPr>
      <w:r w:rsidRPr="00AA1339">
        <w:rPr>
          <w:sz w:val="22"/>
          <w:szCs w:val="22"/>
        </w:rPr>
        <w:t xml:space="preserve">If you are applying for a Fee Waiver, then you </w:t>
      </w:r>
      <w:r w:rsidR="00804D43">
        <w:rPr>
          <w:sz w:val="22"/>
          <w:szCs w:val="22"/>
        </w:rPr>
        <w:t>might</w:t>
      </w:r>
      <w:r w:rsidRPr="00AA1339">
        <w:rPr>
          <w:sz w:val="22"/>
          <w:szCs w:val="22"/>
        </w:rPr>
        <w:t xml:space="preserve"> as well aim high with your acreage and pile estimates. </w:t>
      </w:r>
    </w:p>
    <w:p w14:paraId="7E058E56" w14:textId="77777777" w:rsidR="00AA1339" w:rsidRDefault="005474C7" w:rsidP="00804D43">
      <w:pPr>
        <w:pStyle w:val="ListParagraph"/>
        <w:numPr>
          <w:ilvl w:val="0"/>
          <w:numId w:val="4"/>
        </w:numPr>
        <w:rPr>
          <w:sz w:val="22"/>
          <w:szCs w:val="22"/>
        </w:rPr>
      </w:pPr>
      <w:r w:rsidRPr="00AA1339">
        <w:rPr>
          <w:sz w:val="22"/>
          <w:szCs w:val="22"/>
        </w:rPr>
        <w:t xml:space="preserve">The SMP is good for two years, so include everything you might want to burn in that time. </w:t>
      </w:r>
    </w:p>
    <w:p w14:paraId="70FDD389" w14:textId="10112D5A" w:rsidR="005474C7" w:rsidRPr="00AA1339" w:rsidRDefault="00AA1339" w:rsidP="00804D43">
      <w:pPr>
        <w:pStyle w:val="ListParagraph"/>
        <w:numPr>
          <w:ilvl w:val="0"/>
          <w:numId w:val="4"/>
        </w:numPr>
        <w:rPr>
          <w:sz w:val="22"/>
          <w:szCs w:val="22"/>
        </w:rPr>
      </w:pPr>
      <w:r>
        <w:rPr>
          <w:sz w:val="22"/>
          <w:szCs w:val="22"/>
        </w:rPr>
        <w:t>I</w:t>
      </w:r>
      <w:r w:rsidR="005474C7" w:rsidRPr="00AA1339">
        <w:rPr>
          <w:sz w:val="22"/>
          <w:szCs w:val="22"/>
        </w:rPr>
        <w:t>f you’re applying for the waiver, you’ll have to fill out a burn permit application instead of using the online portal.</w:t>
      </w:r>
    </w:p>
    <w:p w14:paraId="762BDE47" w14:textId="77777777" w:rsidR="005474C7" w:rsidRPr="0054124C" w:rsidRDefault="005474C7" w:rsidP="001970FC">
      <w:pPr>
        <w:rPr>
          <w:sz w:val="22"/>
          <w:szCs w:val="22"/>
        </w:rPr>
      </w:pPr>
    </w:p>
    <w:p w14:paraId="099FF1D1" w14:textId="54A918DE" w:rsidR="006E2D2F" w:rsidRPr="0054124C" w:rsidRDefault="006E2D2F" w:rsidP="001970FC">
      <w:pPr>
        <w:rPr>
          <w:sz w:val="22"/>
          <w:szCs w:val="22"/>
        </w:rPr>
      </w:pPr>
      <w:r w:rsidRPr="0054124C">
        <w:rPr>
          <w:sz w:val="22"/>
          <w:szCs w:val="22"/>
        </w:rPr>
        <w:t>Start by filling in the contact information. So far, so good right?</w:t>
      </w:r>
      <w:r w:rsidR="00FA51C6" w:rsidRPr="0054124C">
        <w:rPr>
          <w:sz w:val="22"/>
          <w:szCs w:val="22"/>
        </w:rPr>
        <w:t xml:space="preserve"> </w:t>
      </w:r>
    </w:p>
    <w:p w14:paraId="73E95BA4" w14:textId="3FC1A5D0" w:rsidR="006E2D2F" w:rsidRPr="0054124C" w:rsidRDefault="0079189C" w:rsidP="001970FC">
      <w:pPr>
        <w:pStyle w:val="ListParagraph"/>
        <w:numPr>
          <w:ilvl w:val="0"/>
          <w:numId w:val="1"/>
        </w:numPr>
        <w:rPr>
          <w:sz w:val="22"/>
          <w:szCs w:val="22"/>
        </w:rPr>
      </w:pPr>
      <w:r>
        <w:rPr>
          <w:sz w:val="22"/>
          <w:szCs w:val="22"/>
        </w:rPr>
        <w:t>If you already have a completed Non</w:t>
      </w:r>
      <w:r w:rsidR="006E2D2F" w:rsidRPr="0054124C">
        <w:rPr>
          <w:sz w:val="22"/>
          <w:szCs w:val="22"/>
        </w:rPr>
        <w:t>-Standard Permit</w:t>
      </w:r>
      <w:r>
        <w:rPr>
          <w:sz w:val="22"/>
          <w:szCs w:val="22"/>
        </w:rPr>
        <w:t>, i</w:t>
      </w:r>
      <w:r w:rsidRPr="0054124C">
        <w:rPr>
          <w:sz w:val="22"/>
          <w:szCs w:val="22"/>
        </w:rPr>
        <w:t>nput the six-digit code from the top left corner</w:t>
      </w:r>
      <w:r>
        <w:rPr>
          <w:sz w:val="22"/>
          <w:szCs w:val="22"/>
        </w:rPr>
        <w:t>. If you’re submitting your SMP and burn permit together, then leave this blank.</w:t>
      </w:r>
    </w:p>
    <w:p w14:paraId="5A6D98BD" w14:textId="748A6738" w:rsidR="006E2D2F" w:rsidRPr="0054124C" w:rsidRDefault="006E2D2F" w:rsidP="001970FC">
      <w:pPr>
        <w:pStyle w:val="ListParagraph"/>
        <w:numPr>
          <w:ilvl w:val="0"/>
          <w:numId w:val="1"/>
        </w:numPr>
        <w:rPr>
          <w:sz w:val="22"/>
          <w:szCs w:val="22"/>
        </w:rPr>
      </w:pPr>
      <w:r w:rsidRPr="0054124C">
        <w:rPr>
          <w:sz w:val="22"/>
          <w:szCs w:val="22"/>
        </w:rPr>
        <w:t>Input the legal description of your property, and the physical address</w:t>
      </w:r>
      <w:r w:rsidR="00641820" w:rsidRPr="0054124C">
        <w:rPr>
          <w:sz w:val="22"/>
          <w:szCs w:val="22"/>
        </w:rPr>
        <w:t xml:space="preserve"> at the site,</w:t>
      </w:r>
      <w:r w:rsidRPr="0054124C">
        <w:rPr>
          <w:sz w:val="22"/>
          <w:szCs w:val="22"/>
        </w:rPr>
        <w:t xml:space="preserve"> if </w:t>
      </w:r>
      <w:r w:rsidR="00641820" w:rsidRPr="0054124C">
        <w:rPr>
          <w:sz w:val="22"/>
          <w:szCs w:val="22"/>
        </w:rPr>
        <w:t>there is one</w:t>
      </w:r>
      <w:r w:rsidRPr="0054124C">
        <w:rPr>
          <w:sz w:val="22"/>
          <w:szCs w:val="22"/>
        </w:rPr>
        <w:t xml:space="preserve">. If you’re not sure what the legal description is, check your deed or go to the </w:t>
      </w:r>
      <w:hyperlink r:id="rId9" w:history="1">
        <w:r w:rsidRPr="0054124C">
          <w:rPr>
            <w:rStyle w:val="Hyperlink"/>
            <w:sz w:val="22"/>
            <w:szCs w:val="22"/>
          </w:rPr>
          <w:t>Humboldt County GIS</w:t>
        </w:r>
      </w:hyperlink>
      <w:r w:rsidRPr="0054124C">
        <w:rPr>
          <w:sz w:val="22"/>
          <w:szCs w:val="22"/>
        </w:rPr>
        <w:t xml:space="preserve"> page </w:t>
      </w:r>
      <w:r w:rsidR="006B6ADB" w:rsidRPr="0054124C">
        <w:rPr>
          <w:sz w:val="22"/>
          <w:szCs w:val="22"/>
        </w:rPr>
        <w:t xml:space="preserve">and </w:t>
      </w:r>
      <w:r w:rsidRPr="0054124C">
        <w:rPr>
          <w:sz w:val="22"/>
          <w:szCs w:val="22"/>
        </w:rPr>
        <w:t>either input your Assessors’ Parcel Number (APN) or zoom in until you find your property, click on it, and scroll down through the information to the Legal Description.</w:t>
      </w:r>
    </w:p>
    <w:p w14:paraId="398975BC" w14:textId="05B729D3" w:rsidR="006E2D2F" w:rsidRPr="0054124C" w:rsidRDefault="006E2D2F" w:rsidP="001970FC">
      <w:pPr>
        <w:pStyle w:val="ListParagraph"/>
        <w:numPr>
          <w:ilvl w:val="0"/>
          <w:numId w:val="1"/>
        </w:numPr>
        <w:rPr>
          <w:sz w:val="22"/>
          <w:szCs w:val="22"/>
        </w:rPr>
      </w:pPr>
      <w:r w:rsidRPr="0054124C">
        <w:rPr>
          <w:sz w:val="22"/>
          <w:szCs w:val="22"/>
        </w:rPr>
        <w:t>Check all that apply.</w:t>
      </w:r>
      <w:r w:rsidR="00AB07E4" w:rsidRPr="0054124C">
        <w:rPr>
          <w:sz w:val="22"/>
          <w:szCs w:val="22"/>
        </w:rPr>
        <w:t xml:space="preserve"> </w:t>
      </w:r>
    </w:p>
    <w:p w14:paraId="6976766D" w14:textId="77777777" w:rsidR="006E2D2F" w:rsidRPr="0054124C" w:rsidRDefault="006E2D2F" w:rsidP="001970FC">
      <w:pPr>
        <w:pStyle w:val="ListParagraph"/>
        <w:numPr>
          <w:ilvl w:val="0"/>
          <w:numId w:val="1"/>
        </w:numPr>
        <w:rPr>
          <w:sz w:val="22"/>
          <w:szCs w:val="22"/>
        </w:rPr>
      </w:pPr>
      <w:r w:rsidRPr="0054124C">
        <w:rPr>
          <w:sz w:val="22"/>
          <w:szCs w:val="22"/>
        </w:rPr>
        <w:t xml:space="preserve">If your prep is complete, record the date, otherwise input </w:t>
      </w:r>
      <w:r w:rsidR="003562CB" w:rsidRPr="0054124C">
        <w:rPr>
          <w:sz w:val="22"/>
          <w:szCs w:val="22"/>
        </w:rPr>
        <w:t>“</w:t>
      </w:r>
      <w:r w:rsidRPr="0054124C">
        <w:rPr>
          <w:sz w:val="22"/>
          <w:szCs w:val="22"/>
        </w:rPr>
        <w:t>Ongoing</w:t>
      </w:r>
      <w:r w:rsidR="003562CB" w:rsidRPr="0054124C">
        <w:rPr>
          <w:sz w:val="22"/>
          <w:szCs w:val="22"/>
        </w:rPr>
        <w:t>”</w:t>
      </w:r>
      <w:r w:rsidRPr="0054124C">
        <w:rPr>
          <w:sz w:val="22"/>
          <w:szCs w:val="22"/>
        </w:rPr>
        <w:t xml:space="preserve"> if you’re still working on it, or </w:t>
      </w:r>
      <w:r w:rsidR="003562CB" w:rsidRPr="0054124C">
        <w:rPr>
          <w:sz w:val="22"/>
          <w:szCs w:val="22"/>
        </w:rPr>
        <w:t>“</w:t>
      </w:r>
      <w:r w:rsidRPr="0054124C">
        <w:rPr>
          <w:sz w:val="22"/>
          <w:szCs w:val="22"/>
        </w:rPr>
        <w:t>N/A</w:t>
      </w:r>
      <w:r w:rsidR="003562CB" w:rsidRPr="0054124C">
        <w:rPr>
          <w:sz w:val="22"/>
          <w:szCs w:val="22"/>
        </w:rPr>
        <w:t>”</w:t>
      </w:r>
      <w:r w:rsidRPr="0054124C">
        <w:rPr>
          <w:sz w:val="22"/>
          <w:szCs w:val="22"/>
        </w:rPr>
        <w:t xml:space="preserve"> if there was no prep work performed.</w:t>
      </w:r>
    </w:p>
    <w:p w14:paraId="00AA183B" w14:textId="23DB607D" w:rsidR="006E2D2F" w:rsidRPr="0054124C" w:rsidRDefault="006E2D2F" w:rsidP="001970FC">
      <w:pPr>
        <w:pStyle w:val="ListParagraph"/>
        <w:numPr>
          <w:ilvl w:val="0"/>
          <w:numId w:val="1"/>
        </w:numPr>
        <w:rPr>
          <w:sz w:val="22"/>
          <w:szCs w:val="22"/>
        </w:rPr>
      </w:pPr>
      <w:r w:rsidRPr="0054124C">
        <w:rPr>
          <w:sz w:val="22"/>
          <w:szCs w:val="22"/>
        </w:rPr>
        <w:t>Check all that apply, and estimate pile size and number. Don’t worry about getting this exact; you’ll have a chance to record more accurate numbers after your burn.</w:t>
      </w:r>
      <w:r w:rsidR="00AB07E4" w:rsidRPr="0054124C">
        <w:rPr>
          <w:sz w:val="22"/>
          <w:szCs w:val="22"/>
        </w:rPr>
        <w:t xml:space="preserve"> Check </w:t>
      </w:r>
      <w:r w:rsidR="00AB07E4" w:rsidRPr="0054124C">
        <w:rPr>
          <w:i/>
          <w:iCs/>
          <w:sz w:val="22"/>
          <w:szCs w:val="22"/>
        </w:rPr>
        <w:t>broadcast</w:t>
      </w:r>
      <w:r w:rsidR="00AB07E4" w:rsidRPr="0054124C">
        <w:rPr>
          <w:sz w:val="22"/>
          <w:szCs w:val="22"/>
        </w:rPr>
        <w:t xml:space="preserve"> for any area that you want to </w:t>
      </w:r>
      <w:r w:rsidR="00F67583" w:rsidRPr="0054124C">
        <w:rPr>
          <w:sz w:val="22"/>
          <w:szCs w:val="22"/>
        </w:rPr>
        <w:t xml:space="preserve">use prescribed </w:t>
      </w:r>
      <w:r w:rsidR="00AB07E4" w:rsidRPr="0054124C">
        <w:rPr>
          <w:sz w:val="22"/>
          <w:szCs w:val="22"/>
        </w:rPr>
        <w:t>burn</w:t>
      </w:r>
      <w:r w:rsidR="00F67583" w:rsidRPr="0054124C">
        <w:rPr>
          <w:sz w:val="22"/>
          <w:szCs w:val="22"/>
        </w:rPr>
        <w:t>ing</w:t>
      </w:r>
      <w:r w:rsidR="00AB07E4" w:rsidRPr="0054124C">
        <w:rPr>
          <w:sz w:val="22"/>
          <w:szCs w:val="22"/>
        </w:rPr>
        <w:t xml:space="preserve">, and including any </w:t>
      </w:r>
      <w:r w:rsidR="00AB07E4" w:rsidRPr="0054124C">
        <w:rPr>
          <w:i/>
          <w:iCs/>
          <w:sz w:val="22"/>
          <w:szCs w:val="22"/>
        </w:rPr>
        <w:t xml:space="preserve">tractor piles </w:t>
      </w:r>
      <w:r w:rsidR="00AB07E4" w:rsidRPr="0054124C">
        <w:rPr>
          <w:sz w:val="22"/>
          <w:szCs w:val="22"/>
        </w:rPr>
        <w:t>and</w:t>
      </w:r>
      <w:r w:rsidR="00AB07E4" w:rsidRPr="0054124C">
        <w:rPr>
          <w:i/>
          <w:iCs/>
          <w:sz w:val="22"/>
          <w:szCs w:val="22"/>
        </w:rPr>
        <w:t xml:space="preserve"> hand piles</w:t>
      </w:r>
      <w:r w:rsidR="00AB07E4" w:rsidRPr="0054124C">
        <w:rPr>
          <w:sz w:val="22"/>
          <w:szCs w:val="22"/>
        </w:rPr>
        <w:t xml:space="preserve"> will allow you to burn larger than 10’x10’ and more than one at a time</w:t>
      </w:r>
      <w:r w:rsidR="00F67583" w:rsidRPr="0054124C">
        <w:rPr>
          <w:sz w:val="22"/>
          <w:szCs w:val="22"/>
        </w:rPr>
        <w:t>.</w:t>
      </w:r>
    </w:p>
    <w:p w14:paraId="187040BD" w14:textId="6BC251A0" w:rsidR="006E2D2F" w:rsidRPr="0054124C" w:rsidRDefault="006E2D2F" w:rsidP="001970FC">
      <w:pPr>
        <w:pStyle w:val="ListParagraph"/>
        <w:numPr>
          <w:ilvl w:val="0"/>
          <w:numId w:val="1"/>
        </w:numPr>
        <w:rPr>
          <w:sz w:val="22"/>
          <w:szCs w:val="22"/>
        </w:rPr>
      </w:pPr>
      <w:r w:rsidRPr="0054124C">
        <w:rPr>
          <w:sz w:val="22"/>
          <w:szCs w:val="22"/>
        </w:rPr>
        <w:t xml:space="preserve">This is where it starts to get tricky. Use their chart to estimate the tonnage of any pile burning. </w:t>
      </w:r>
      <w:r w:rsidR="00804D43">
        <w:rPr>
          <w:sz w:val="22"/>
          <w:szCs w:val="22"/>
        </w:rPr>
        <w:t>If you need help estimating</w:t>
      </w:r>
      <w:r w:rsidR="006202C1" w:rsidRPr="0054124C">
        <w:rPr>
          <w:sz w:val="22"/>
          <w:szCs w:val="22"/>
        </w:rPr>
        <w:t xml:space="preserve"> tonnage for broadcast burning, either refer to a </w:t>
      </w:r>
      <w:r w:rsidR="00FA51C6" w:rsidRPr="0054124C">
        <w:rPr>
          <w:sz w:val="22"/>
          <w:szCs w:val="22"/>
        </w:rPr>
        <w:t>p</w:t>
      </w:r>
      <w:r w:rsidR="006202C1" w:rsidRPr="0054124C">
        <w:rPr>
          <w:sz w:val="22"/>
          <w:szCs w:val="22"/>
        </w:rPr>
        <w:t>rofessional forester or contact the Humboldt County Prescribed Burn Association for assistance.</w:t>
      </w:r>
    </w:p>
    <w:p w14:paraId="25705A12" w14:textId="3E6F2E85" w:rsidR="006E2D2F" w:rsidRPr="0054124C" w:rsidRDefault="001970FC" w:rsidP="001970FC">
      <w:pPr>
        <w:pStyle w:val="ListParagraph"/>
        <w:numPr>
          <w:ilvl w:val="0"/>
          <w:numId w:val="1"/>
        </w:numPr>
        <w:rPr>
          <w:sz w:val="22"/>
          <w:szCs w:val="22"/>
        </w:rPr>
      </w:pPr>
      <w:r w:rsidRPr="0054124C">
        <w:rPr>
          <w:sz w:val="22"/>
          <w:szCs w:val="22"/>
        </w:rPr>
        <w:t>Input t</w:t>
      </w:r>
      <w:r w:rsidR="006E2D2F" w:rsidRPr="0054124C">
        <w:rPr>
          <w:sz w:val="22"/>
          <w:szCs w:val="22"/>
        </w:rPr>
        <w:t>otal acreage of burn</w:t>
      </w:r>
    </w:p>
    <w:p w14:paraId="623C277C" w14:textId="4EC6A64B" w:rsidR="006E2D2F" w:rsidRPr="0054124C" w:rsidRDefault="006E2D2F" w:rsidP="001970FC">
      <w:pPr>
        <w:pStyle w:val="ListParagraph"/>
        <w:numPr>
          <w:ilvl w:val="0"/>
          <w:numId w:val="1"/>
        </w:numPr>
        <w:rPr>
          <w:sz w:val="22"/>
          <w:szCs w:val="22"/>
        </w:rPr>
      </w:pPr>
      <w:r w:rsidRPr="0054124C">
        <w:rPr>
          <w:sz w:val="22"/>
          <w:szCs w:val="22"/>
        </w:rPr>
        <w:t>Be realistic. If there are heavy fuels such as stumps and logs in your project</w:t>
      </w:r>
      <w:r w:rsidR="004C075F" w:rsidRPr="0054124C">
        <w:rPr>
          <w:sz w:val="22"/>
          <w:szCs w:val="22"/>
        </w:rPr>
        <w:t>, you can expect them to take a minimum of several days to be consumed unless you plan on mopping up the whole unit.</w:t>
      </w:r>
      <w:r w:rsidR="00B32359" w:rsidRPr="0054124C">
        <w:rPr>
          <w:sz w:val="22"/>
          <w:szCs w:val="22"/>
        </w:rPr>
        <w:t xml:space="preserve"> </w:t>
      </w:r>
    </w:p>
    <w:p w14:paraId="38C3B86C" w14:textId="5A727E4C" w:rsidR="004C075F" w:rsidRPr="0054124C" w:rsidRDefault="004C075F" w:rsidP="001970FC">
      <w:pPr>
        <w:pStyle w:val="ListParagraph"/>
        <w:numPr>
          <w:ilvl w:val="0"/>
          <w:numId w:val="1"/>
        </w:numPr>
        <w:rPr>
          <w:sz w:val="22"/>
          <w:szCs w:val="22"/>
        </w:rPr>
      </w:pPr>
      <w:r w:rsidRPr="0054124C">
        <w:rPr>
          <w:sz w:val="22"/>
          <w:szCs w:val="22"/>
        </w:rPr>
        <w:t>Input the range in elevation of your burn project</w:t>
      </w:r>
      <w:r w:rsidR="00C63A92" w:rsidRPr="0054124C">
        <w:rPr>
          <w:sz w:val="22"/>
          <w:szCs w:val="22"/>
        </w:rPr>
        <w:t xml:space="preserve"> (such as 1200-1400ft)</w:t>
      </w:r>
      <w:r w:rsidRPr="0054124C">
        <w:rPr>
          <w:sz w:val="22"/>
          <w:szCs w:val="22"/>
        </w:rPr>
        <w:t xml:space="preserve">, and the </w:t>
      </w:r>
      <w:r w:rsidR="006E0222" w:rsidRPr="0054124C">
        <w:rPr>
          <w:sz w:val="22"/>
          <w:szCs w:val="22"/>
        </w:rPr>
        <w:t>general</w:t>
      </w:r>
      <w:r w:rsidRPr="0054124C">
        <w:rPr>
          <w:sz w:val="22"/>
          <w:szCs w:val="22"/>
        </w:rPr>
        <w:t xml:space="preserve"> direction that the slope faces. A large project may encompass multiple aspects, i.e. “North, East, &amp; South.”</w:t>
      </w:r>
    </w:p>
    <w:p w14:paraId="4786C679" w14:textId="77777777" w:rsidR="003562CB" w:rsidRPr="0054124C" w:rsidRDefault="00B47569" w:rsidP="001970FC">
      <w:pPr>
        <w:pStyle w:val="ListParagraph"/>
        <w:numPr>
          <w:ilvl w:val="0"/>
          <w:numId w:val="1"/>
        </w:numPr>
        <w:rPr>
          <w:sz w:val="22"/>
          <w:szCs w:val="22"/>
        </w:rPr>
      </w:pPr>
      <w:r w:rsidRPr="0054124C">
        <w:rPr>
          <w:sz w:val="22"/>
          <w:szCs w:val="22"/>
        </w:rPr>
        <w:t>F</w:t>
      </w:r>
      <w:r w:rsidR="004C075F" w:rsidRPr="0054124C">
        <w:rPr>
          <w:sz w:val="22"/>
          <w:szCs w:val="22"/>
        </w:rPr>
        <w:t xml:space="preserve">ollow the link in #2 above, zoom in on your site until the scale is appropriate for a 5 or 20 mile radius, and </w:t>
      </w:r>
      <w:r w:rsidR="00641820" w:rsidRPr="0054124C">
        <w:rPr>
          <w:sz w:val="22"/>
          <w:szCs w:val="22"/>
        </w:rPr>
        <w:t>make a list of the s</w:t>
      </w:r>
      <w:r w:rsidRPr="0054124C">
        <w:rPr>
          <w:i/>
          <w:sz w:val="22"/>
          <w:szCs w:val="22"/>
        </w:rPr>
        <w:t>ensi</w:t>
      </w:r>
      <w:r w:rsidR="00641820" w:rsidRPr="0054124C">
        <w:rPr>
          <w:i/>
          <w:sz w:val="22"/>
          <w:szCs w:val="22"/>
        </w:rPr>
        <w:t>tive r</w:t>
      </w:r>
      <w:r w:rsidRPr="0054124C">
        <w:rPr>
          <w:i/>
          <w:sz w:val="22"/>
          <w:szCs w:val="22"/>
        </w:rPr>
        <w:t xml:space="preserve">eceptors </w:t>
      </w:r>
      <w:r w:rsidRPr="0054124C">
        <w:rPr>
          <w:sz w:val="22"/>
          <w:szCs w:val="22"/>
        </w:rPr>
        <w:t>within that range.</w:t>
      </w:r>
      <w:r w:rsidR="003562CB" w:rsidRPr="0054124C">
        <w:rPr>
          <w:sz w:val="22"/>
          <w:szCs w:val="22"/>
        </w:rPr>
        <w:t xml:space="preserve"> Make sure you include all towns, schools, hospitals, airports, and major thoroughfares. Record the cardinal direction of each receptor from your project, so that you can use it </w:t>
      </w:r>
      <w:r w:rsidR="00641820" w:rsidRPr="0054124C">
        <w:rPr>
          <w:sz w:val="22"/>
          <w:szCs w:val="22"/>
        </w:rPr>
        <w:t xml:space="preserve">later, </w:t>
      </w:r>
      <w:r w:rsidR="003562CB" w:rsidRPr="0054124C">
        <w:rPr>
          <w:sz w:val="22"/>
          <w:szCs w:val="22"/>
        </w:rPr>
        <w:t>in the SMP Spreadsheet.</w:t>
      </w:r>
      <w:r w:rsidR="00641820" w:rsidRPr="0054124C">
        <w:rPr>
          <w:sz w:val="22"/>
          <w:szCs w:val="22"/>
        </w:rPr>
        <w:t xml:space="preserve"> If your burn is more than 100 acres, you’ll need to produce a map. You can use the Print feature to download a map, where you’ll indicate a 20 mile radius, and the sensitive receptors within it. You’ll also indicate direction of smoke, which</w:t>
      </w:r>
      <w:r w:rsidR="00300C4B" w:rsidRPr="0054124C">
        <w:rPr>
          <w:sz w:val="22"/>
          <w:szCs w:val="22"/>
        </w:rPr>
        <w:t xml:space="preserve"> can be essentially every direction that doesn’t impact a receptor.</w:t>
      </w:r>
    </w:p>
    <w:p w14:paraId="1878F57D" w14:textId="77777777" w:rsidR="004C075F" w:rsidRPr="0054124C" w:rsidRDefault="004C075F" w:rsidP="001970FC">
      <w:pPr>
        <w:pStyle w:val="ListParagraph"/>
        <w:numPr>
          <w:ilvl w:val="0"/>
          <w:numId w:val="1"/>
        </w:numPr>
        <w:rPr>
          <w:sz w:val="22"/>
          <w:szCs w:val="22"/>
        </w:rPr>
      </w:pPr>
      <w:r w:rsidRPr="0054124C">
        <w:rPr>
          <w:sz w:val="22"/>
          <w:szCs w:val="22"/>
        </w:rPr>
        <w:lastRenderedPageBreak/>
        <w:t>Explain what measures you will take to suppress the burn if it negative</w:t>
      </w:r>
      <w:r w:rsidR="00641820" w:rsidRPr="0054124C">
        <w:rPr>
          <w:sz w:val="22"/>
          <w:szCs w:val="22"/>
        </w:rPr>
        <w:t>ly affects a sensitive receptor, such as; “resources will be available to initiate suppression efforts and mitigate any unforeseen smoke impacts.”</w:t>
      </w:r>
    </w:p>
    <w:p w14:paraId="736E749B" w14:textId="27C1180E" w:rsidR="004C075F" w:rsidRPr="0054124C" w:rsidRDefault="00C401BC" w:rsidP="001970FC">
      <w:pPr>
        <w:pStyle w:val="ListParagraph"/>
        <w:numPr>
          <w:ilvl w:val="0"/>
          <w:numId w:val="1"/>
        </w:numPr>
        <w:rPr>
          <w:sz w:val="22"/>
          <w:szCs w:val="22"/>
        </w:rPr>
      </w:pPr>
      <w:r w:rsidRPr="0054124C">
        <w:rPr>
          <w:sz w:val="22"/>
          <w:szCs w:val="22"/>
        </w:rPr>
        <w:t>Check the boxes appropriately</w:t>
      </w:r>
      <w:r w:rsidR="005474C7" w:rsidRPr="0054124C">
        <w:rPr>
          <w:sz w:val="22"/>
          <w:szCs w:val="22"/>
        </w:rPr>
        <w:t xml:space="preserve">; </w:t>
      </w:r>
      <w:r w:rsidR="00A0449A" w:rsidRPr="0054124C">
        <w:rPr>
          <w:sz w:val="22"/>
          <w:szCs w:val="22"/>
        </w:rPr>
        <w:t xml:space="preserve">There are </w:t>
      </w:r>
      <w:r w:rsidR="0079189C">
        <w:rPr>
          <w:sz w:val="22"/>
          <w:szCs w:val="22"/>
        </w:rPr>
        <w:t xml:space="preserve">generally </w:t>
      </w:r>
      <w:r w:rsidR="00A0449A" w:rsidRPr="0054124C">
        <w:rPr>
          <w:sz w:val="22"/>
          <w:szCs w:val="22"/>
        </w:rPr>
        <w:t xml:space="preserve">no monitoring requirements unless the burn is more than 250 acres, or it’s a multi-day burn with heavy fuels and over 100 acres. </w:t>
      </w:r>
    </w:p>
    <w:p w14:paraId="6F7C40FD" w14:textId="51725CF8" w:rsidR="00C401BC" w:rsidRPr="0054124C" w:rsidRDefault="00C401BC" w:rsidP="001970FC">
      <w:pPr>
        <w:pStyle w:val="ListParagraph"/>
        <w:numPr>
          <w:ilvl w:val="0"/>
          <w:numId w:val="1"/>
        </w:numPr>
        <w:rPr>
          <w:sz w:val="22"/>
          <w:szCs w:val="22"/>
        </w:rPr>
      </w:pPr>
      <w:r w:rsidRPr="0054124C">
        <w:rPr>
          <w:sz w:val="22"/>
          <w:szCs w:val="22"/>
        </w:rPr>
        <w:t xml:space="preserve"> </w:t>
      </w:r>
      <w:r w:rsidR="001970FC" w:rsidRPr="0054124C">
        <w:rPr>
          <w:sz w:val="22"/>
          <w:szCs w:val="22"/>
        </w:rPr>
        <w:t xml:space="preserve">Input </w:t>
      </w:r>
      <w:r w:rsidRPr="0054124C">
        <w:rPr>
          <w:sz w:val="22"/>
          <w:szCs w:val="22"/>
        </w:rPr>
        <w:t>“Refer to spreadsheet”</w:t>
      </w:r>
    </w:p>
    <w:p w14:paraId="0CD60C4B" w14:textId="77777777" w:rsidR="00C401BC" w:rsidRPr="0054124C" w:rsidRDefault="00C401BC" w:rsidP="001970FC">
      <w:pPr>
        <w:pStyle w:val="ListParagraph"/>
        <w:numPr>
          <w:ilvl w:val="0"/>
          <w:numId w:val="1"/>
        </w:numPr>
        <w:rPr>
          <w:sz w:val="22"/>
          <w:szCs w:val="22"/>
        </w:rPr>
      </w:pPr>
      <w:r w:rsidRPr="0054124C">
        <w:rPr>
          <w:sz w:val="22"/>
          <w:szCs w:val="22"/>
        </w:rPr>
        <w:t>If you have chipped some areas, or used “lop &amp; scatter” in areas that you don’t plan to burn, indicate that here. Also, if fuel prep work will be allowed to dry for at least two weeks before ignition, indicate that as well.</w:t>
      </w:r>
    </w:p>
    <w:p w14:paraId="0AA25FC2" w14:textId="0BAEA80D" w:rsidR="001E3CF7" w:rsidRPr="0054124C" w:rsidRDefault="00B56934" w:rsidP="001970FC">
      <w:pPr>
        <w:pStyle w:val="ListParagraph"/>
        <w:numPr>
          <w:ilvl w:val="0"/>
          <w:numId w:val="1"/>
        </w:numPr>
        <w:rPr>
          <w:sz w:val="22"/>
          <w:szCs w:val="22"/>
        </w:rPr>
      </w:pPr>
      <w:r w:rsidRPr="0054124C">
        <w:rPr>
          <w:i/>
          <w:sz w:val="22"/>
          <w:szCs w:val="22"/>
        </w:rPr>
        <w:t>Adequate p</w:t>
      </w:r>
      <w:r w:rsidR="00C401BC" w:rsidRPr="0054124C">
        <w:rPr>
          <w:i/>
          <w:sz w:val="22"/>
          <w:szCs w:val="22"/>
        </w:rPr>
        <w:t>ublic notification is critical to a successful burn</w:t>
      </w:r>
      <w:r w:rsidR="00C401BC" w:rsidRPr="0054124C">
        <w:rPr>
          <w:sz w:val="22"/>
          <w:szCs w:val="22"/>
        </w:rPr>
        <w:t xml:space="preserve">. </w:t>
      </w:r>
      <w:r w:rsidRPr="0054124C">
        <w:rPr>
          <w:sz w:val="22"/>
          <w:szCs w:val="22"/>
        </w:rPr>
        <w:t>Do a good job of it, and explain your plan here to get credit for your good work!</w:t>
      </w:r>
      <w:r w:rsidR="00300C4B" w:rsidRPr="0054124C">
        <w:rPr>
          <w:sz w:val="22"/>
          <w:szCs w:val="22"/>
        </w:rPr>
        <w:t xml:space="preserve"> At a minimum you will need to call each school that will be in session during your burn</w:t>
      </w:r>
      <w:r w:rsidR="001E3CF7" w:rsidRPr="0054124C">
        <w:rPr>
          <w:sz w:val="22"/>
          <w:szCs w:val="22"/>
        </w:rPr>
        <w:t>,</w:t>
      </w:r>
      <w:r w:rsidR="00300C4B" w:rsidRPr="0054124C">
        <w:rPr>
          <w:sz w:val="22"/>
          <w:szCs w:val="22"/>
        </w:rPr>
        <w:t xml:space="preserve"> </w:t>
      </w:r>
      <w:r w:rsidR="00BB1312" w:rsidRPr="0054124C">
        <w:rPr>
          <w:sz w:val="22"/>
          <w:szCs w:val="22"/>
        </w:rPr>
        <w:t>that</w:t>
      </w:r>
      <w:r w:rsidR="00300C4B" w:rsidRPr="0054124C">
        <w:rPr>
          <w:sz w:val="22"/>
          <w:szCs w:val="22"/>
        </w:rPr>
        <w:t xml:space="preserve"> falls within the area ou</w:t>
      </w:r>
      <w:r w:rsidR="001E3CF7" w:rsidRPr="0054124C">
        <w:rPr>
          <w:sz w:val="22"/>
          <w:szCs w:val="22"/>
        </w:rPr>
        <w:t>tlined in question 10 above. You will also want to</w:t>
      </w:r>
      <w:r w:rsidR="00300C4B" w:rsidRPr="0054124C">
        <w:rPr>
          <w:sz w:val="22"/>
          <w:szCs w:val="22"/>
        </w:rPr>
        <w:t xml:space="preserve"> inform the local news </w:t>
      </w:r>
      <w:r w:rsidR="00461E66">
        <w:rPr>
          <w:sz w:val="22"/>
          <w:szCs w:val="22"/>
        </w:rPr>
        <w:t>outlets.</w:t>
      </w:r>
    </w:p>
    <w:p w14:paraId="7AB67D8A" w14:textId="77777777" w:rsidR="001E3CF7" w:rsidRPr="0054124C" w:rsidRDefault="001E3CF7" w:rsidP="001970FC">
      <w:pPr>
        <w:pStyle w:val="ListParagraph"/>
        <w:rPr>
          <w:sz w:val="22"/>
          <w:szCs w:val="22"/>
        </w:rPr>
      </w:pPr>
    </w:p>
    <w:p w14:paraId="58B94381" w14:textId="4C07A88D" w:rsidR="00B52CE8" w:rsidRDefault="00B56934" w:rsidP="00876979">
      <w:pPr>
        <w:ind w:left="360"/>
        <w:rPr>
          <w:sz w:val="22"/>
          <w:szCs w:val="22"/>
        </w:rPr>
      </w:pPr>
      <w:r w:rsidRPr="0054124C">
        <w:rPr>
          <w:b/>
          <w:bCs/>
          <w:sz w:val="22"/>
          <w:szCs w:val="22"/>
        </w:rPr>
        <w:t>Sp</w:t>
      </w:r>
      <w:r w:rsidR="00B47569" w:rsidRPr="0054124C">
        <w:rPr>
          <w:b/>
          <w:bCs/>
          <w:sz w:val="22"/>
          <w:szCs w:val="22"/>
        </w:rPr>
        <w:t>readsheet</w:t>
      </w:r>
      <w:r w:rsidR="00B47569" w:rsidRPr="0054124C">
        <w:rPr>
          <w:sz w:val="22"/>
          <w:szCs w:val="22"/>
        </w:rPr>
        <w:t xml:space="preserve">: </w:t>
      </w:r>
      <w:r w:rsidR="00BB1312" w:rsidRPr="0054124C">
        <w:rPr>
          <w:sz w:val="22"/>
          <w:szCs w:val="22"/>
        </w:rPr>
        <w:t xml:space="preserve">If your project has multiple units, fill out a separate line for each one, </w:t>
      </w:r>
      <w:r w:rsidR="00F67583" w:rsidRPr="0054124C">
        <w:rPr>
          <w:sz w:val="22"/>
          <w:szCs w:val="22"/>
        </w:rPr>
        <w:t xml:space="preserve">and </w:t>
      </w:r>
      <w:r w:rsidR="00BB1312" w:rsidRPr="0054124C">
        <w:rPr>
          <w:sz w:val="22"/>
          <w:szCs w:val="22"/>
        </w:rPr>
        <w:t xml:space="preserve">give them a unique identifier </w:t>
      </w:r>
      <w:r w:rsidR="001352EF" w:rsidRPr="0054124C">
        <w:rPr>
          <w:sz w:val="22"/>
          <w:szCs w:val="22"/>
        </w:rPr>
        <w:t>in</w:t>
      </w:r>
      <w:r w:rsidR="00BB1312" w:rsidRPr="0054124C">
        <w:rPr>
          <w:sz w:val="22"/>
          <w:szCs w:val="22"/>
        </w:rPr>
        <w:t xml:space="preserve"> the first column</w:t>
      </w:r>
      <w:r w:rsidR="00F67583" w:rsidRPr="0054124C">
        <w:rPr>
          <w:sz w:val="22"/>
          <w:szCs w:val="22"/>
        </w:rPr>
        <w:t xml:space="preserve">. </w:t>
      </w:r>
      <w:r w:rsidR="0054124C" w:rsidRPr="0054124C">
        <w:rPr>
          <w:sz w:val="22"/>
          <w:szCs w:val="22"/>
        </w:rPr>
        <w:t xml:space="preserve">Most projects larger than a few acres benefit from being divided into units, and it is advisable to keep individual units smaller than 100 acres.  </w:t>
      </w:r>
      <w:r w:rsidR="00F67583" w:rsidRPr="0054124C">
        <w:rPr>
          <w:sz w:val="22"/>
          <w:szCs w:val="22"/>
        </w:rPr>
        <w:t>If you are planning both broadcast and pile burning in a particular unit, fill out a separate line for each treatment.</w:t>
      </w:r>
      <w:r w:rsidR="00C5617A">
        <w:rPr>
          <w:sz w:val="22"/>
          <w:szCs w:val="22"/>
        </w:rPr>
        <w:t xml:space="preserve"> </w:t>
      </w:r>
      <w:r w:rsidR="00F67583" w:rsidRPr="00E73A7A">
        <w:rPr>
          <w:sz w:val="22"/>
          <w:szCs w:val="22"/>
        </w:rPr>
        <w:t>The second column will usually be the same for every row</w:t>
      </w:r>
      <w:r w:rsidR="00E73A7A">
        <w:rPr>
          <w:sz w:val="22"/>
          <w:szCs w:val="22"/>
        </w:rPr>
        <w:t>, unless you are using geographic coordinates, in which case you can input the latitude and longitude for the center of each unit</w:t>
      </w:r>
      <w:r w:rsidR="00F67583" w:rsidRPr="00E73A7A">
        <w:rPr>
          <w:sz w:val="22"/>
          <w:szCs w:val="22"/>
        </w:rPr>
        <w:t xml:space="preserve">. </w:t>
      </w:r>
      <w:r w:rsidR="00C5617A">
        <w:rPr>
          <w:sz w:val="22"/>
          <w:szCs w:val="22"/>
        </w:rPr>
        <w:t xml:space="preserve">In the third column, indicate the type of burning. The fourth column is for acreage, either the size of the unit for broadcast burning, or </w:t>
      </w:r>
      <w:r w:rsidR="0061057C">
        <w:rPr>
          <w:sz w:val="22"/>
          <w:szCs w:val="22"/>
        </w:rPr>
        <w:t>f</w:t>
      </w:r>
      <w:r w:rsidR="00C5617A">
        <w:rPr>
          <w:sz w:val="22"/>
          <w:szCs w:val="22"/>
        </w:rPr>
        <w:t>or pile burning</w:t>
      </w:r>
      <w:r w:rsidR="0061057C">
        <w:rPr>
          <w:sz w:val="22"/>
          <w:szCs w:val="22"/>
        </w:rPr>
        <w:t xml:space="preserve"> input </w:t>
      </w:r>
      <w:r w:rsidR="00C5617A">
        <w:rPr>
          <w:sz w:val="22"/>
          <w:szCs w:val="22"/>
        </w:rPr>
        <w:t xml:space="preserve">the approximate </w:t>
      </w:r>
      <w:r w:rsidR="0061057C">
        <w:rPr>
          <w:sz w:val="22"/>
          <w:szCs w:val="22"/>
        </w:rPr>
        <w:t>area</w:t>
      </w:r>
      <w:r w:rsidR="00C5617A">
        <w:rPr>
          <w:sz w:val="22"/>
          <w:szCs w:val="22"/>
        </w:rPr>
        <w:t xml:space="preserve"> that the material was removed from. </w:t>
      </w:r>
      <w:r w:rsidR="00B52CE8" w:rsidRPr="0054124C">
        <w:rPr>
          <w:sz w:val="22"/>
          <w:szCs w:val="22"/>
        </w:rPr>
        <w:t>Skip</w:t>
      </w:r>
      <w:r w:rsidR="00BB1312" w:rsidRPr="0054124C">
        <w:rPr>
          <w:sz w:val="22"/>
          <w:szCs w:val="22"/>
        </w:rPr>
        <w:t xml:space="preserve"> the </w:t>
      </w:r>
      <w:r w:rsidR="00BB1312" w:rsidRPr="0054124C">
        <w:rPr>
          <w:i/>
          <w:sz w:val="22"/>
          <w:szCs w:val="22"/>
        </w:rPr>
        <w:t>Wind Prescription</w:t>
      </w:r>
      <w:r w:rsidR="00BB1312" w:rsidRPr="0054124C">
        <w:rPr>
          <w:sz w:val="22"/>
          <w:szCs w:val="22"/>
        </w:rPr>
        <w:t xml:space="preserve"> column for now</w:t>
      </w:r>
      <w:r w:rsidR="00B52CE8" w:rsidRPr="0054124C">
        <w:rPr>
          <w:sz w:val="22"/>
          <w:szCs w:val="22"/>
        </w:rPr>
        <w:t xml:space="preserve">, and </w:t>
      </w:r>
      <w:r w:rsidR="0061057C">
        <w:rPr>
          <w:sz w:val="22"/>
          <w:szCs w:val="22"/>
        </w:rPr>
        <w:t>put N/A into</w:t>
      </w:r>
      <w:r w:rsidR="00B52CE8" w:rsidRPr="0054124C">
        <w:rPr>
          <w:sz w:val="22"/>
          <w:szCs w:val="22"/>
        </w:rPr>
        <w:t xml:space="preserve"> the </w:t>
      </w:r>
      <w:r w:rsidR="00B52CE8" w:rsidRPr="0054124C">
        <w:rPr>
          <w:i/>
          <w:sz w:val="22"/>
          <w:szCs w:val="22"/>
        </w:rPr>
        <w:t>Monitoring Info</w:t>
      </w:r>
      <w:r w:rsidR="00B52CE8" w:rsidRPr="0054124C">
        <w:rPr>
          <w:sz w:val="22"/>
          <w:szCs w:val="22"/>
        </w:rPr>
        <w:t xml:space="preserve"> column, unless you have received specific instruction on monitoring requirements</w:t>
      </w:r>
      <w:r w:rsidR="00BB1312" w:rsidRPr="0054124C">
        <w:rPr>
          <w:sz w:val="22"/>
          <w:szCs w:val="22"/>
        </w:rPr>
        <w:t>.  I</w:t>
      </w:r>
      <w:r w:rsidRPr="0054124C">
        <w:rPr>
          <w:sz w:val="22"/>
          <w:szCs w:val="22"/>
        </w:rPr>
        <w:t xml:space="preserve">n the </w:t>
      </w:r>
      <w:r w:rsidRPr="0054124C">
        <w:rPr>
          <w:i/>
          <w:sz w:val="22"/>
          <w:szCs w:val="22"/>
        </w:rPr>
        <w:t>Sensitive Receptors</w:t>
      </w:r>
      <w:r w:rsidRPr="0054124C">
        <w:rPr>
          <w:sz w:val="22"/>
          <w:szCs w:val="22"/>
        </w:rPr>
        <w:t xml:space="preserve"> column</w:t>
      </w:r>
      <w:r w:rsidR="00BB1312" w:rsidRPr="0054124C">
        <w:rPr>
          <w:sz w:val="22"/>
          <w:szCs w:val="22"/>
        </w:rPr>
        <w:t>, input</w:t>
      </w:r>
      <w:r w:rsidR="009939F1" w:rsidRPr="0054124C">
        <w:rPr>
          <w:sz w:val="22"/>
          <w:szCs w:val="22"/>
        </w:rPr>
        <w:t xml:space="preserve"> the name, direction</w:t>
      </w:r>
      <w:r w:rsidRPr="0054124C">
        <w:rPr>
          <w:sz w:val="22"/>
          <w:szCs w:val="22"/>
        </w:rPr>
        <w:t xml:space="preserve">, </w:t>
      </w:r>
      <w:r w:rsidR="009939F1" w:rsidRPr="0054124C">
        <w:rPr>
          <w:sz w:val="22"/>
          <w:szCs w:val="22"/>
        </w:rPr>
        <w:t xml:space="preserve">and distance of the receptors you identified in question 10 above. </w:t>
      </w:r>
      <w:r w:rsidR="00BB1312" w:rsidRPr="0054124C">
        <w:rPr>
          <w:sz w:val="22"/>
          <w:szCs w:val="22"/>
        </w:rPr>
        <w:t>Return to</w:t>
      </w:r>
      <w:r w:rsidRPr="0054124C">
        <w:rPr>
          <w:sz w:val="22"/>
          <w:szCs w:val="22"/>
        </w:rPr>
        <w:t xml:space="preserve"> the </w:t>
      </w:r>
      <w:r w:rsidRPr="0054124C">
        <w:rPr>
          <w:i/>
          <w:sz w:val="22"/>
          <w:szCs w:val="22"/>
        </w:rPr>
        <w:t>Wind Prescription</w:t>
      </w:r>
      <w:r w:rsidRPr="0054124C">
        <w:rPr>
          <w:sz w:val="22"/>
          <w:szCs w:val="22"/>
        </w:rPr>
        <w:t xml:space="preserve"> column, </w:t>
      </w:r>
      <w:r w:rsidR="00BB1312" w:rsidRPr="0054124C">
        <w:rPr>
          <w:sz w:val="22"/>
          <w:szCs w:val="22"/>
        </w:rPr>
        <w:t>and input</w:t>
      </w:r>
      <w:r w:rsidRPr="0054124C">
        <w:rPr>
          <w:sz w:val="22"/>
          <w:szCs w:val="22"/>
        </w:rPr>
        <w:t xml:space="preserve"> the allowable wind directions</w:t>
      </w:r>
      <w:r w:rsidR="00BB1312" w:rsidRPr="0054124C">
        <w:rPr>
          <w:sz w:val="22"/>
          <w:szCs w:val="22"/>
        </w:rPr>
        <w:t>,</w:t>
      </w:r>
      <w:r w:rsidRPr="0054124C">
        <w:rPr>
          <w:sz w:val="22"/>
          <w:szCs w:val="22"/>
        </w:rPr>
        <w:t xml:space="preserve"> that won’t blow towards the receptors. Of course</w:t>
      </w:r>
      <w:r w:rsidR="00B47569" w:rsidRPr="0054124C">
        <w:rPr>
          <w:sz w:val="22"/>
          <w:szCs w:val="22"/>
        </w:rPr>
        <w:t>,</w:t>
      </w:r>
      <w:r w:rsidRPr="0054124C">
        <w:rPr>
          <w:sz w:val="22"/>
          <w:szCs w:val="22"/>
        </w:rPr>
        <w:t xml:space="preserve"> keep in mind that wind directions are called out as the direction they are coming from. </w:t>
      </w:r>
      <w:r w:rsidR="00B52CE8" w:rsidRPr="0054124C">
        <w:rPr>
          <w:sz w:val="22"/>
          <w:szCs w:val="22"/>
        </w:rPr>
        <w:t>Take a look at the example below, and n</w:t>
      </w:r>
      <w:r w:rsidR="00B47569" w:rsidRPr="0054124C">
        <w:rPr>
          <w:sz w:val="22"/>
          <w:szCs w:val="22"/>
        </w:rPr>
        <w:t xml:space="preserve">ote that </w:t>
      </w:r>
      <w:r w:rsidR="00685849" w:rsidRPr="0054124C">
        <w:rPr>
          <w:sz w:val="22"/>
          <w:szCs w:val="22"/>
        </w:rPr>
        <w:t>South</w:t>
      </w:r>
      <w:r w:rsidR="00B47569" w:rsidRPr="0054124C">
        <w:rPr>
          <w:sz w:val="22"/>
          <w:szCs w:val="22"/>
        </w:rPr>
        <w:t xml:space="preserve"> and </w:t>
      </w:r>
      <w:r w:rsidR="00685849" w:rsidRPr="0054124C">
        <w:rPr>
          <w:sz w:val="22"/>
          <w:szCs w:val="22"/>
        </w:rPr>
        <w:t>West</w:t>
      </w:r>
      <w:r w:rsidR="00B47569" w:rsidRPr="0054124C">
        <w:rPr>
          <w:sz w:val="22"/>
          <w:szCs w:val="22"/>
        </w:rPr>
        <w:t xml:space="preserve"> are missing from the </w:t>
      </w:r>
      <w:r w:rsidR="00B47569" w:rsidRPr="0054124C">
        <w:rPr>
          <w:i/>
          <w:sz w:val="22"/>
          <w:szCs w:val="22"/>
        </w:rPr>
        <w:t>Wind Prescription</w:t>
      </w:r>
      <w:r w:rsidR="00B47569" w:rsidRPr="0054124C">
        <w:rPr>
          <w:sz w:val="22"/>
          <w:szCs w:val="22"/>
        </w:rPr>
        <w:t xml:space="preserve">, as burning with winds from those directions could potentially impact </w:t>
      </w:r>
      <w:r w:rsidR="00FC06E1" w:rsidRPr="0054124C">
        <w:rPr>
          <w:sz w:val="22"/>
          <w:szCs w:val="22"/>
        </w:rPr>
        <w:t>one of those</w:t>
      </w:r>
      <w:r w:rsidR="00B47569" w:rsidRPr="0054124C">
        <w:rPr>
          <w:sz w:val="22"/>
          <w:szCs w:val="22"/>
        </w:rPr>
        <w:t xml:space="preserve"> towns. If there is a compelling reason why your burn will not impact the listed receptors with a given wind, such as topographical barriers or </w:t>
      </w:r>
      <w:r w:rsidR="001970FC" w:rsidRPr="0054124C">
        <w:rPr>
          <w:sz w:val="22"/>
          <w:szCs w:val="22"/>
        </w:rPr>
        <w:t xml:space="preserve">a </w:t>
      </w:r>
      <w:r w:rsidR="00B47569" w:rsidRPr="0054124C">
        <w:rPr>
          <w:sz w:val="22"/>
          <w:szCs w:val="22"/>
        </w:rPr>
        <w:t>significant difference</w:t>
      </w:r>
      <w:r w:rsidR="001970FC" w:rsidRPr="0054124C">
        <w:rPr>
          <w:sz w:val="22"/>
          <w:szCs w:val="22"/>
        </w:rPr>
        <w:t xml:space="preserve"> in elevation</w:t>
      </w:r>
      <w:r w:rsidR="00B47569" w:rsidRPr="0054124C">
        <w:rPr>
          <w:sz w:val="22"/>
          <w:szCs w:val="22"/>
        </w:rPr>
        <w:t xml:space="preserve">, you should still exclude them from your </w:t>
      </w:r>
      <w:r w:rsidR="00B47569" w:rsidRPr="0054124C">
        <w:rPr>
          <w:i/>
          <w:sz w:val="22"/>
          <w:szCs w:val="22"/>
        </w:rPr>
        <w:t>Wind Prescription,</w:t>
      </w:r>
      <w:r w:rsidR="00B47569" w:rsidRPr="0054124C">
        <w:rPr>
          <w:sz w:val="22"/>
          <w:szCs w:val="22"/>
        </w:rPr>
        <w:t xml:space="preserve"> but on the day of your burn you can share your reasoning with the NCUAQMD staff and you will likely be authorized to burn.</w:t>
      </w:r>
    </w:p>
    <w:p w14:paraId="565F810E" w14:textId="43FA39AC" w:rsidR="00B52CE8" w:rsidRPr="0054124C" w:rsidRDefault="00B52CE8" w:rsidP="00701A68">
      <w:pPr>
        <w:ind w:left="360"/>
        <w:rPr>
          <w:sz w:val="22"/>
          <w:szCs w:val="22"/>
        </w:rPr>
      </w:pPr>
    </w:p>
    <w:p w14:paraId="6164433B" w14:textId="5069CC74" w:rsidR="00876979" w:rsidRDefault="006E0EAA" w:rsidP="00701A68">
      <w:pPr>
        <w:ind w:left="360"/>
        <w:rPr>
          <w:b/>
          <w:bCs/>
          <w:sz w:val="22"/>
          <w:szCs w:val="22"/>
        </w:rPr>
      </w:pPr>
      <w:r>
        <w:rPr>
          <w:b/>
          <w:bCs/>
          <w:noProof/>
          <w:sz w:val="22"/>
          <w:szCs w:val="22"/>
        </w:rPr>
        <w:drawing>
          <wp:inline distT="0" distB="0" distL="0" distR="0" wp14:anchorId="4482C941" wp14:editId="063A7BA4">
            <wp:extent cx="5486400" cy="1471295"/>
            <wp:effectExtent l="0" t="0" r="0" b="190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5486400" cy="1471295"/>
                    </a:xfrm>
                    <a:prstGeom prst="rect">
                      <a:avLst/>
                    </a:prstGeom>
                  </pic:spPr>
                </pic:pic>
              </a:graphicData>
            </a:graphic>
          </wp:inline>
        </w:drawing>
      </w:r>
    </w:p>
    <w:p w14:paraId="559B4084" w14:textId="77777777" w:rsidR="006E0EAA" w:rsidRDefault="006E0EAA" w:rsidP="006E0EAA">
      <w:pPr>
        <w:ind w:left="360"/>
        <w:rPr>
          <w:b/>
          <w:bCs/>
          <w:sz w:val="22"/>
          <w:szCs w:val="22"/>
        </w:rPr>
      </w:pPr>
    </w:p>
    <w:p w14:paraId="62A69F34" w14:textId="77777777" w:rsidR="006E0EAA" w:rsidRDefault="006E0EAA" w:rsidP="006E0EAA">
      <w:pPr>
        <w:ind w:left="360"/>
        <w:rPr>
          <w:b/>
          <w:bCs/>
          <w:sz w:val="22"/>
          <w:szCs w:val="22"/>
        </w:rPr>
      </w:pPr>
    </w:p>
    <w:p w14:paraId="65BC7CEC" w14:textId="4006DF05" w:rsidR="006E0EAA" w:rsidRPr="0054124C" w:rsidRDefault="006E0EAA" w:rsidP="006E0EAA">
      <w:pPr>
        <w:ind w:left="360"/>
        <w:rPr>
          <w:sz w:val="22"/>
          <w:szCs w:val="22"/>
        </w:rPr>
      </w:pPr>
      <w:r w:rsidRPr="0054124C">
        <w:rPr>
          <w:b/>
          <w:bCs/>
          <w:sz w:val="22"/>
          <w:szCs w:val="22"/>
        </w:rPr>
        <w:t xml:space="preserve">Annual Estimate of Emissions </w:t>
      </w:r>
      <w:r w:rsidRPr="0054124C">
        <w:rPr>
          <w:sz w:val="22"/>
          <w:szCs w:val="22"/>
        </w:rPr>
        <w:t xml:space="preserve">will be completed </w:t>
      </w:r>
      <w:r w:rsidRPr="0054124C">
        <w:rPr>
          <w:sz w:val="22"/>
          <w:szCs w:val="22"/>
          <w:u w:val="single"/>
        </w:rPr>
        <w:t>after</w:t>
      </w:r>
      <w:r w:rsidRPr="0054124C">
        <w:rPr>
          <w:sz w:val="22"/>
          <w:szCs w:val="22"/>
        </w:rPr>
        <w:t xml:space="preserve"> your burn.</w:t>
      </w:r>
    </w:p>
    <w:p w14:paraId="0B114D05" w14:textId="77777777" w:rsidR="006E0EAA" w:rsidRPr="0054124C" w:rsidRDefault="006E0EAA" w:rsidP="006E0EAA">
      <w:pPr>
        <w:ind w:left="360"/>
        <w:rPr>
          <w:sz w:val="22"/>
          <w:szCs w:val="22"/>
        </w:rPr>
      </w:pPr>
    </w:p>
    <w:p w14:paraId="05D55F7A" w14:textId="77777777" w:rsidR="006E0EAA" w:rsidRPr="0054124C" w:rsidRDefault="006E0EAA" w:rsidP="00701A68">
      <w:pPr>
        <w:ind w:left="360"/>
        <w:rPr>
          <w:b/>
          <w:bCs/>
          <w:sz w:val="22"/>
          <w:szCs w:val="22"/>
        </w:rPr>
      </w:pPr>
    </w:p>
    <w:sectPr w:rsidR="006E0EAA" w:rsidRPr="0054124C" w:rsidSect="006E2D2F">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829A" w14:textId="77777777" w:rsidR="00795E1A" w:rsidRDefault="00795E1A" w:rsidP="001E596F">
      <w:r>
        <w:separator/>
      </w:r>
    </w:p>
  </w:endnote>
  <w:endnote w:type="continuationSeparator" w:id="0">
    <w:p w14:paraId="10BA9C36" w14:textId="77777777" w:rsidR="00795E1A" w:rsidRDefault="00795E1A" w:rsidP="001E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B26A" w14:textId="77777777" w:rsidR="00795E1A" w:rsidRDefault="00795E1A" w:rsidP="001E596F">
      <w:r>
        <w:separator/>
      </w:r>
    </w:p>
  </w:footnote>
  <w:footnote w:type="continuationSeparator" w:id="0">
    <w:p w14:paraId="68EB0DA7" w14:textId="77777777" w:rsidR="00795E1A" w:rsidRDefault="00795E1A" w:rsidP="001E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5C85" w14:textId="6298F713" w:rsidR="001E596F" w:rsidRPr="001E596F" w:rsidRDefault="0038273C" w:rsidP="001E596F">
    <w:pPr>
      <w:pStyle w:val="Header"/>
      <w:jc w:val="center"/>
      <w:rPr>
        <w:b/>
        <w:bCs/>
        <w:sz w:val="20"/>
        <w:szCs w:val="20"/>
      </w:rPr>
    </w:pPr>
    <w:r>
      <w:rPr>
        <w:sz w:val="20"/>
        <w:szCs w:val="20"/>
      </w:rPr>
      <w:t>Humboldt County Prescribed Burn Association</w:t>
    </w:r>
    <w:r w:rsidR="001E596F">
      <w:rPr>
        <w:sz w:val="20"/>
        <w:szCs w:val="20"/>
      </w:rPr>
      <w:t xml:space="preserve"> </w:t>
    </w:r>
    <w:r w:rsidR="001E596F" w:rsidRPr="001E596F">
      <w:rPr>
        <w:b/>
        <w:bCs/>
        <w:sz w:val="20"/>
        <w:szCs w:val="20"/>
      </w:rPr>
      <w:t xml:space="preserve">SMP </w:t>
    </w:r>
    <w:r>
      <w:rPr>
        <w:b/>
        <w:bCs/>
        <w:sz w:val="20"/>
        <w:szCs w:val="20"/>
      </w:rPr>
      <w:t>Guide</w:t>
    </w:r>
  </w:p>
  <w:p w14:paraId="268F0913" w14:textId="160E2E92" w:rsidR="001E596F" w:rsidRDefault="001E596F" w:rsidP="001E596F">
    <w:pPr>
      <w:pStyle w:val="Header"/>
      <w:rPr>
        <w:sz w:val="20"/>
        <w:szCs w:val="20"/>
      </w:rPr>
    </w:pPr>
    <w:r w:rsidRPr="001E596F">
      <w:rPr>
        <w:sz w:val="20"/>
        <w:szCs w:val="20"/>
      </w:rPr>
      <w:t>01/22/2023</w:t>
    </w:r>
    <w:r>
      <w:rPr>
        <w:sz w:val="20"/>
        <w:szCs w:val="20"/>
      </w:rPr>
      <w:tab/>
    </w:r>
    <w:r>
      <w:rPr>
        <w:sz w:val="20"/>
        <w:szCs w:val="20"/>
      </w:rPr>
      <w:tab/>
    </w:r>
    <w:hyperlink r:id="rId1" w:history="1">
      <w:r w:rsidRPr="0038273C">
        <w:rPr>
          <w:rStyle w:val="Hyperlink"/>
          <w:sz w:val="20"/>
          <w:szCs w:val="20"/>
        </w:rPr>
        <w:t>https://humcopba.net</w:t>
      </w:r>
    </w:hyperlink>
  </w:p>
  <w:p w14:paraId="0A95B251" w14:textId="405A7BD8" w:rsidR="001E596F" w:rsidRPr="001E596F" w:rsidRDefault="001E596F" w:rsidP="001E596F">
    <w:pPr>
      <w:pStyle w:val="Header"/>
      <w:jc w:val="center"/>
      <w:rPr>
        <w:sz w:val="20"/>
        <w:szCs w:val="20"/>
      </w:rPr>
    </w:pP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176"/>
    <w:multiLevelType w:val="hybridMultilevel"/>
    <w:tmpl w:val="8BFE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B3DE4"/>
    <w:multiLevelType w:val="hybridMultilevel"/>
    <w:tmpl w:val="40FC6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C23BA"/>
    <w:multiLevelType w:val="hybridMultilevel"/>
    <w:tmpl w:val="A0F2D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447A9D"/>
    <w:multiLevelType w:val="multilevel"/>
    <w:tmpl w:val="6E9C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D2F"/>
    <w:rsid w:val="00021683"/>
    <w:rsid w:val="00081049"/>
    <w:rsid w:val="001352EF"/>
    <w:rsid w:val="001631EE"/>
    <w:rsid w:val="0016476A"/>
    <w:rsid w:val="001970FC"/>
    <w:rsid w:val="001E3CF7"/>
    <w:rsid w:val="001E596F"/>
    <w:rsid w:val="002907FC"/>
    <w:rsid w:val="002B6F98"/>
    <w:rsid w:val="002F76B4"/>
    <w:rsid w:val="00300C4B"/>
    <w:rsid w:val="003562CB"/>
    <w:rsid w:val="0038273C"/>
    <w:rsid w:val="003868A6"/>
    <w:rsid w:val="00396EDE"/>
    <w:rsid w:val="003F5496"/>
    <w:rsid w:val="00461E66"/>
    <w:rsid w:val="004A0A63"/>
    <w:rsid w:val="004C075F"/>
    <w:rsid w:val="0054124C"/>
    <w:rsid w:val="005474C7"/>
    <w:rsid w:val="00547E46"/>
    <w:rsid w:val="0061057C"/>
    <w:rsid w:val="006202C1"/>
    <w:rsid w:val="00641820"/>
    <w:rsid w:val="00685849"/>
    <w:rsid w:val="006B3DBD"/>
    <w:rsid w:val="006B6ADB"/>
    <w:rsid w:val="006E0222"/>
    <w:rsid w:val="006E0EAA"/>
    <w:rsid w:val="006E2D2F"/>
    <w:rsid w:val="00701A68"/>
    <w:rsid w:val="00776171"/>
    <w:rsid w:val="0079189C"/>
    <w:rsid w:val="00795E1A"/>
    <w:rsid w:val="007A492B"/>
    <w:rsid w:val="00804D43"/>
    <w:rsid w:val="00876979"/>
    <w:rsid w:val="00980F03"/>
    <w:rsid w:val="009939F1"/>
    <w:rsid w:val="009E6B97"/>
    <w:rsid w:val="00A0449A"/>
    <w:rsid w:val="00AA1339"/>
    <w:rsid w:val="00AB07E4"/>
    <w:rsid w:val="00B32359"/>
    <w:rsid w:val="00B47569"/>
    <w:rsid w:val="00B52CE8"/>
    <w:rsid w:val="00B56934"/>
    <w:rsid w:val="00BB1312"/>
    <w:rsid w:val="00C401BC"/>
    <w:rsid w:val="00C5617A"/>
    <w:rsid w:val="00C63A92"/>
    <w:rsid w:val="00CB4439"/>
    <w:rsid w:val="00E73A7A"/>
    <w:rsid w:val="00F66FDC"/>
    <w:rsid w:val="00F67583"/>
    <w:rsid w:val="00F85453"/>
    <w:rsid w:val="00FA51C6"/>
    <w:rsid w:val="00FC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A7B9C5"/>
  <w14:defaultImageDpi w14:val="300"/>
  <w15:docId w15:val="{20907454-8FE3-BF4C-9E6F-2A1D1FCA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2F"/>
    <w:pPr>
      <w:ind w:left="720"/>
      <w:contextualSpacing/>
    </w:pPr>
  </w:style>
  <w:style w:type="character" w:styleId="Hyperlink">
    <w:name w:val="Hyperlink"/>
    <w:basedOn w:val="DefaultParagraphFont"/>
    <w:uiPriority w:val="99"/>
    <w:unhideWhenUsed/>
    <w:rsid w:val="006E2D2F"/>
    <w:rPr>
      <w:color w:val="0000FF" w:themeColor="hyperlink"/>
      <w:u w:val="single"/>
    </w:rPr>
  </w:style>
  <w:style w:type="character" w:styleId="CommentReference">
    <w:name w:val="annotation reference"/>
    <w:basedOn w:val="DefaultParagraphFont"/>
    <w:uiPriority w:val="99"/>
    <w:semiHidden/>
    <w:unhideWhenUsed/>
    <w:rsid w:val="006E2D2F"/>
    <w:rPr>
      <w:sz w:val="18"/>
      <w:szCs w:val="18"/>
    </w:rPr>
  </w:style>
  <w:style w:type="paragraph" w:styleId="CommentText">
    <w:name w:val="annotation text"/>
    <w:basedOn w:val="Normal"/>
    <w:link w:val="CommentTextChar"/>
    <w:uiPriority w:val="99"/>
    <w:semiHidden/>
    <w:unhideWhenUsed/>
    <w:rsid w:val="006E2D2F"/>
  </w:style>
  <w:style w:type="character" w:customStyle="1" w:styleId="CommentTextChar">
    <w:name w:val="Comment Text Char"/>
    <w:basedOn w:val="DefaultParagraphFont"/>
    <w:link w:val="CommentText"/>
    <w:uiPriority w:val="99"/>
    <w:semiHidden/>
    <w:rsid w:val="006E2D2F"/>
    <w:rPr>
      <w:sz w:val="24"/>
      <w:szCs w:val="24"/>
      <w:lang w:eastAsia="en-US"/>
    </w:rPr>
  </w:style>
  <w:style w:type="paragraph" w:styleId="CommentSubject">
    <w:name w:val="annotation subject"/>
    <w:basedOn w:val="CommentText"/>
    <w:next w:val="CommentText"/>
    <w:link w:val="CommentSubjectChar"/>
    <w:uiPriority w:val="99"/>
    <w:semiHidden/>
    <w:unhideWhenUsed/>
    <w:rsid w:val="006E2D2F"/>
    <w:rPr>
      <w:b/>
      <w:bCs/>
      <w:sz w:val="20"/>
      <w:szCs w:val="20"/>
    </w:rPr>
  </w:style>
  <w:style w:type="character" w:customStyle="1" w:styleId="CommentSubjectChar">
    <w:name w:val="Comment Subject Char"/>
    <w:basedOn w:val="CommentTextChar"/>
    <w:link w:val="CommentSubject"/>
    <w:uiPriority w:val="99"/>
    <w:semiHidden/>
    <w:rsid w:val="006E2D2F"/>
    <w:rPr>
      <w:b/>
      <w:bCs/>
      <w:sz w:val="24"/>
      <w:szCs w:val="24"/>
      <w:lang w:eastAsia="en-US"/>
    </w:rPr>
  </w:style>
  <w:style w:type="paragraph" w:styleId="BalloonText">
    <w:name w:val="Balloon Text"/>
    <w:basedOn w:val="Normal"/>
    <w:link w:val="BalloonTextChar"/>
    <w:uiPriority w:val="99"/>
    <w:semiHidden/>
    <w:unhideWhenUsed/>
    <w:rsid w:val="006E2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D2F"/>
    <w:rPr>
      <w:rFonts w:ascii="Lucida Grande" w:hAnsi="Lucida Grande" w:cs="Lucida Grande"/>
      <w:sz w:val="18"/>
      <w:szCs w:val="18"/>
      <w:lang w:eastAsia="en-US"/>
    </w:rPr>
  </w:style>
  <w:style w:type="paragraph" w:styleId="NormalWeb">
    <w:name w:val="Normal (Web)"/>
    <w:basedOn w:val="Normal"/>
    <w:uiPriority w:val="99"/>
    <w:semiHidden/>
    <w:unhideWhenUsed/>
    <w:rsid w:val="00A0449A"/>
  </w:style>
  <w:style w:type="character" w:styleId="UnresolvedMention">
    <w:name w:val="Unresolved Mention"/>
    <w:basedOn w:val="DefaultParagraphFont"/>
    <w:uiPriority w:val="99"/>
    <w:semiHidden/>
    <w:unhideWhenUsed/>
    <w:rsid w:val="00C63A92"/>
    <w:rPr>
      <w:color w:val="605E5C"/>
      <w:shd w:val="clear" w:color="auto" w:fill="E1DFDD"/>
    </w:rPr>
  </w:style>
  <w:style w:type="character" w:styleId="FollowedHyperlink">
    <w:name w:val="FollowedHyperlink"/>
    <w:basedOn w:val="DefaultParagraphFont"/>
    <w:uiPriority w:val="99"/>
    <w:semiHidden/>
    <w:unhideWhenUsed/>
    <w:rsid w:val="002F76B4"/>
    <w:rPr>
      <w:color w:val="800080" w:themeColor="followedHyperlink"/>
      <w:u w:val="single"/>
    </w:rPr>
  </w:style>
  <w:style w:type="paragraph" w:styleId="Revision">
    <w:name w:val="Revision"/>
    <w:hidden/>
    <w:uiPriority w:val="99"/>
    <w:semiHidden/>
    <w:rsid w:val="00E73A7A"/>
    <w:rPr>
      <w:sz w:val="24"/>
      <w:szCs w:val="24"/>
      <w:lang w:eastAsia="en-US"/>
    </w:rPr>
  </w:style>
  <w:style w:type="paragraph" w:styleId="Header">
    <w:name w:val="header"/>
    <w:basedOn w:val="Normal"/>
    <w:link w:val="HeaderChar"/>
    <w:uiPriority w:val="99"/>
    <w:unhideWhenUsed/>
    <w:rsid w:val="001E596F"/>
    <w:pPr>
      <w:tabs>
        <w:tab w:val="center" w:pos="4680"/>
        <w:tab w:val="right" w:pos="9360"/>
      </w:tabs>
    </w:pPr>
  </w:style>
  <w:style w:type="character" w:customStyle="1" w:styleId="HeaderChar">
    <w:name w:val="Header Char"/>
    <w:basedOn w:val="DefaultParagraphFont"/>
    <w:link w:val="Header"/>
    <w:uiPriority w:val="99"/>
    <w:rsid w:val="001E596F"/>
    <w:rPr>
      <w:sz w:val="24"/>
      <w:szCs w:val="24"/>
      <w:lang w:eastAsia="en-US"/>
    </w:rPr>
  </w:style>
  <w:style w:type="paragraph" w:styleId="Footer">
    <w:name w:val="footer"/>
    <w:basedOn w:val="Normal"/>
    <w:link w:val="FooterChar"/>
    <w:uiPriority w:val="99"/>
    <w:unhideWhenUsed/>
    <w:rsid w:val="001E596F"/>
    <w:pPr>
      <w:tabs>
        <w:tab w:val="center" w:pos="4680"/>
        <w:tab w:val="right" w:pos="9360"/>
      </w:tabs>
    </w:pPr>
  </w:style>
  <w:style w:type="character" w:customStyle="1" w:styleId="FooterChar">
    <w:name w:val="Footer Char"/>
    <w:basedOn w:val="DefaultParagraphFont"/>
    <w:link w:val="Footer"/>
    <w:uiPriority w:val="99"/>
    <w:rsid w:val="001E59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1537">
      <w:bodyDiv w:val="1"/>
      <w:marLeft w:val="0"/>
      <w:marRight w:val="0"/>
      <w:marTop w:val="0"/>
      <w:marBottom w:val="0"/>
      <w:divBdr>
        <w:top w:val="none" w:sz="0" w:space="0" w:color="auto"/>
        <w:left w:val="none" w:sz="0" w:space="0" w:color="auto"/>
        <w:bottom w:val="none" w:sz="0" w:space="0" w:color="auto"/>
        <w:right w:val="none" w:sz="0" w:space="0" w:color="auto"/>
      </w:divBdr>
      <w:divsChild>
        <w:div w:id="1368720001">
          <w:marLeft w:val="0"/>
          <w:marRight w:val="0"/>
          <w:marTop w:val="0"/>
          <w:marBottom w:val="0"/>
          <w:divBdr>
            <w:top w:val="none" w:sz="0" w:space="0" w:color="auto"/>
            <w:left w:val="none" w:sz="0" w:space="0" w:color="auto"/>
            <w:bottom w:val="none" w:sz="0" w:space="0" w:color="auto"/>
            <w:right w:val="none" w:sz="0" w:space="0" w:color="auto"/>
          </w:divBdr>
          <w:divsChild>
            <w:div w:id="346058498">
              <w:marLeft w:val="0"/>
              <w:marRight w:val="0"/>
              <w:marTop w:val="0"/>
              <w:marBottom w:val="0"/>
              <w:divBdr>
                <w:top w:val="none" w:sz="0" w:space="0" w:color="auto"/>
                <w:left w:val="none" w:sz="0" w:space="0" w:color="auto"/>
                <w:bottom w:val="none" w:sz="0" w:space="0" w:color="auto"/>
                <w:right w:val="none" w:sz="0" w:space="0" w:color="auto"/>
              </w:divBdr>
              <w:divsChild>
                <w:div w:id="12939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9782">
      <w:bodyDiv w:val="1"/>
      <w:marLeft w:val="0"/>
      <w:marRight w:val="0"/>
      <w:marTop w:val="0"/>
      <w:marBottom w:val="0"/>
      <w:divBdr>
        <w:top w:val="none" w:sz="0" w:space="0" w:color="auto"/>
        <w:left w:val="none" w:sz="0" w:space="0" w:color="auto"/>
        <w:bottom w:val="none" w:sz="0" w:space="0" w:color="auto"/>
        <w:right w:val="none" w:sz="0" w:space="0" w:color="auto"/>
      </w:divBdr>
    </w:div>
    <w:div w:id="1368489321">
      <w:bodyDiv w:val="1"/>
      <w:marLeft w:val="0"/>
      <w:marRight w:val="0"/>
      <w:marTop w:val="0"/>
      <w:marBottom w:val="0"/>
      <w:divBdr>
        <w:top w:val="none" w:sz="0" w:space="0" w:color="auto"/>
        <w:left w:val="none" w:sz="0" w:space="0" w:color="auto"/>
        <w:bottom w:val="none" w:sz="0" w:space="0" w:color="auto"/>
        <w:right w:val="none" w:sz="0" w:space="0" w:color="auto"/>
      </w:divBdr>
    </w:div>
    <w:div w:id="1375469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uaqmd.org/files/dcb84be60/NCUAQMD+SMP+Application+Package+%28rev+1-21%2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cuaqm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ebgis.co.humboldt.ca.us/HCEGIS2.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humcopb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Teal  Henninger</dc:creator>
  <cp:keywords/>
  <dc:description/>
  <cp:lastModifiedBy>Kai Ostrow</cp:lastModifiedBy>
  <cp:revision>30</cp:revision>
  <cp:lastPrinted>2021-09-17T18:11:00Z</cp:lastPrinted>
  <dcterms:created xsi:type="dcterms:W3CDTF">2021-06-07T01:29:00Z</dcterms:created>
  <dcterms:modified xsi:type="dcterms:W3CDTF">2023-02-27T17:57:00Z</dcterms:modified>
</cp:coreProperties>
</file>